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000000" w:themeColor="text1"/>
          <w:sz w:val="44"/>
          <w:szCs w:val="44"/>
        </w:rPr>
      </w:pPr>
      <w:r>
        <w:rPr>
          <w:rFonts w:hint="eastAsia" w:ascii="Times New Roman" w:hAnsi="Times New Roman" w:eastAsia="方正小标宋简体" w:cs="方正小标宋简体"/>
          <w:color w:val="000000" w:themeColor="text1"/>
          <w:sz w:val="44"/>
          <w:szCs w:val="44"/>
        </w:rPr>
        <w:t>晋江市市场监督管理局</w:t>
      </w:r>
    </w:p>
    <w:p>
      <w:pPr>
        <w:spacing w:line="640" w:lineRule="exact"/>
        <w:jc w:val="center"/>
        <w:rPr>
          <w:rFonts w:ascii="Times New Roman" w:hAnsi="Times New Roman" w:eastAsia="方正小标宋简体" w:cs="Times New Roman"/>
          <w:color w:val="000000" w:themeColor="text1"/>
          <w:sz w:val="44"/>
          <w:szCs w:val="44"/>
        </w:rPr>
      </w:pPr>
      <w:r>
        <w:rPr>
          <w:rFonts w:hint="eastAsia" w:ascii="Times New Roman" w:hAnsi="Times New Roman" w:eastAsia="方正小标宋简体" w:cs="方正小标宋简体"/>
          <w:color w:val="000000" w:themeColor="text1"/>
          <w:sz w:val="44"/>
          <w:szCs w:val="44"/>
        </w:rPr>
        <w:t>行政处罚决定书</w:t>
      </w:r>
    </w:p>
    <w:p>
      <w:pPr>
        <w:wordWrap w:val="0"/>
        <w:snapToGrid w:val="0"/>
        <w:spacing w:beforeLines="100" w:afterLines="100" w:line="320" w:lineRule="exact"/>
        <w:jc w:val="center"/>
        <w:rPr>
          <w:rFonts w:ascii="仿宋_GB2312" w:hAnsi="Times New Roman" w:eastAsia="仿宋_GB2312" w:cs="仿宋_GB2312"/>
          <w:color w:val="000000" w:themeColor="text1"/>
          <w:sz w:val="32"/>
          <w:szCs w:val="32"/>
        </w:rPr>
      </w:pPr>
      <w:r>
        <w:rPr>
          <w:color w:val="000000" w:themeColor="text1"/>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000000" w:themeColor="text1"/>
          <w:sz w:val="32"/>
          <w:szCs w:val="32"/>
        </w:rPr>
        <w:t>晋市监处罚[</w:t>
      </w:r>
      <w:r>
        <w:rPr>
          <w:rFonts w:ascii="仿宋_GB2312" w:hAnsi="Times New Roman" w:eastAsia="仿宋_GB2312" w:cs="仿宋_GB2312"/>
          <w:color w:val="000000" w:themeColor="text1"/>
          <w:sz w:val="32"/>
          <w:szCs w:val="32"/>
        </w:rPr>
        <w:t>202</w:t>
      </w:r>
      <w:r>
        <w:rPr>
          <w:rFonts w:hint="eastAsia" w:ascii="仿宋_GB2312" w:hAnsi="Times New Roman" w:eastAsia="仿宋_GB2312" w:cs="仿宋_GB2312"/>
          <w:color w:val="000000" w:themeColor="text1"/>
          <w:sz w:val="32"/>
          <w:szCs w:val="32"/>
        </w:rPr>
        <w:t>4]</w:t>
      </w:r>
      <w:r>
        <w:rPr>
          <w:rFonts w:ascii="仿宋_GB2312" w:hAnsi="Times New Roman" w:eastAsia="仿宋_GB2312" w:cs="仿宋_GB2312"/>
          <w:color w:val="000000" w:themeColor="text1"/>
          <w:sz w:val="32"/>
          <w:szCs w:val="32"/>
        </w:rPr>
        <w:t>01-</w:t>
      </w:r>
      <w:r>
        <w:rPr>
          <w:rFonts w:hint="eastAsia" w:ascii="仿宋_GB2312" w:hAnsi="Times New Roman" w:eastAsia="仿宋_GB2312" w:cs="仿宋_GB2312"/>
          <w:color w:val="000000" w:themeColor="text1"/>
          <w:sz w:val="32"/>
          <w:szCs w:val="32"/>
        </w:rPr>
        <w:t>161号</w:t>
      </w:r>
    </w:p>
    <w:p>
      <w:pPr>
        <w:spacing w:line="39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当事人：晋江市青阳真食尚餐馆</w:t>
      </w:r>
      <w:r>
        <w:rPr>
          <w:rFonts w:ascii="仿宋" w:hAnsi="仿宋" w:eastAsia="仿宋" w:cs="仿宋_GB2312"/>
          <w:color w:val="000000" w:themeColor="text1"/>
          <w:kern w:val="1"/>
          <w:sz w:val="32"/>
          <w:szCs w:val="32"/>
        </w:rPr>
        <w:t xml:space="preserve"> </w:t>
      </w:r>
    </w:p>
    <w:p>
      <w:pPr>
        <w:spacing w:line="39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主体资格证照名称：营业执照</w:t>
      </w:r>
    </w:p>
    <w:p>
      <w:pPr>
        <w:spacing w:line="39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统一社会信用代码：</w:t>
      </w:r>
      <w:r>
        <w:rPr>
          <w:rFonts w:ascii="仿宋" w:hAnsi="仿宋" w:eastAsia="仿宋" w:cs="仿宋_GB2312"/>
          <w:color w:val="000000" w:themeColor="text1"/>
          <w:kern w:val="1"/>
          <w:sz w:val="32"/>
          <w:szCs w:val="32"/>
        </w:rPr>
        <w:t>92350582MA3185HP3P</w:t>
      </w:r>
    </w:p>
    <w:p>
      <w:pPr>
        <w:spacing w:line="39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经营场所：福建省泉州市晋江市青阳街道霞行社区金溪路</w:t>
      </w:r>
    </w:p>
    <w:p>
      <w:pPr>
        <w:spacing w:line="39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经营者：孔志军</w:t>
      </w:r>
    </w:p>
    <w:p>
      <w:pPr>
        <w:spacing w:line="390" w:lineRule="exact"/>
        <w:rPr>
          <w:rFonts w:hint="default" w:ascii="仿宋" w:hAnsi="仿宋" w:eastAsia="仿宋" w:cs="仿宋_GB2312"/>
          <w:color w:val="000000" w:themeColor="text1"/>
          <w:kern w:val="1"/>
          <w:sz w:val="32"/>
          <w:szCs w:val="32"/>
          <w:lang w:val="en-US" w:eastAsia="zh-CN"/>
        </w:rPr>
      </w:pPr>
      <w:r>
        <w:rPr>
          <w:rFonts w:hint="eastAsia" w:ascii="仿宋" w:hAnsi="仿宋" w:eastAsia="仿宋" w:cs="仿宋_GB2312"/>
          <w:color w:val="000000" w:themeColor="text1"/>
          <w:kern w:val="1"/>
          <w:sz w:val="32"/>
          <w:szCs w:val="32"/>
        </w:rPr>
        <w:t>身份证号码：</w:t>
      </w:r>
      <w:r>
        <w:rPr>
          <w:rFonts w:ascii="仿宋" w:hAnsi="仿宋" w:eastAsia="仿宋" w:cs="仿宋_GB2312"/>
          <w:color w:val="000000" w:themeColor="text1"/>
          <w:kern w:val="1"/>
          <w:sz w:val="32"/>
          <w:szCs w:val="32"/>
        </w:rPr>
        <w:t>36250219</w:t>
      </w:r>
      <w:r>
        <w:rPr>
          <w:rFonts w:hint="eastAsia" w:ascii="仿宋" w:hAnsi="仿宋" w:eastAsia="仿宋" w:cs="仿宋_GB2312"/>
          <w:color w:val="000000" w:themeColor="text1"/>
          <w:kern w:val="1"/>
          <w:sz w:val="32"/>
          <w:szCs w:val="32"/>
          <w:lang w:val="en-US" w:eastAsia="zh-CN"/>
        </w:rPr>
        <w:t>**********</w:t>
      </w:r>
    </w:p>
    <w:p>
      <w:pPr>
        <w:spacing w:line="390" w:lineRule="exact"/>
        <w:rPr>
          <w:rFonts w:hint="default" w:ascii="仿宋" w:hAnsi="仿宋" w:eastAsia="仿宋" w:cs="仿宋_GB2312"/>
          <w:color w:val="000000" w:themeColor="text1"/>
          <w:kern w:val="1"/>
          <w:sz w:val="32"/>
          <w:szCs w:val="32"/>
          <w:lang w:val="en-US" w:eastAsia="zh-CN"/>
        </w:rPr>
      </w:pPr>
      <w:r>
        <w:rPr>
          <w:rFonts w:hint="eastAsia" w:ascii="仿宋" w:hAnsi="仿宋" w:eastAsia="仿宋" w:cs="仿宋_GB2312"/>
          <w:color w:val="000000" w:themeColor="text1"/>
          <w:kern w:val="1"/>
          <w:sz w:val="32"/>
          <w:szCs w:val="32"/>
        </w:rPr>
        <w:t>联系电话：</w:t>
      </w:r>
      <w:r>
        <w:rPr>
          <w:rFonts w:ascii="仿宋" w:hAnsi="仿宋" w:eastAsia="仿宋" w:cs="仿宋_GB2312"/>
          <w:color w:val="000000" w:themeColor="text1"/>
          <w:kern w:val="1"/>
          <w:sz w:val="32"/>
          <w:szCs w:val="32"/>
        </w:rPr>
        <w:t>189</w:t>
      </w:r>
      <w:r>
        <w:rPr>
          <w:rFonts w:hint="eastAsia" w:ascii="仿宋" w:hAnsi="仿宋" w:eastAsia="仿宋" w:cs="仿宋_GB2312"/>
          <w:color w:val="000000" w:themeColor="text1"/>
          <w:kern w:val="1"/>
          <w:sz w:val="32"/>
          <w:szCs w:val="32"/>
          <w:lang w:val="en-US" w:eastAsia="zh-CN"/>
        </w:rPr>
        <w:t>********</w:t>
      </w:r>
    </w:p>
    <w:p>
      <w:pPr>
        <w:spacing w:line="390" w:lineRule="exact"/>
        <w:rPr>
          <w:rFonts w:ascii="仿宋" w:hAnsi="仿宋" w:eastAsia="仿宋" w:cs="仿宋_GB2312"/>
          <w:color w:val="000000" w:themeColor="text1"/>
          <w:kern w:val="1"/>
          <w:sz w:val="32"/>
          <w:szCs w:val="32"/>
        </w:rPr>
      </w:pPr>
      <w:r>
        <w:rPr>
          <w:rFonts w:hint="eastAsia" w:ascii="仿宋" w:hAnsi="仿宋" w:eastAsia="仿宋" w:cs="仿宋_GB2312"/>
          <w:color w:val="000000" w:themeColor="text1"/>
          <w:kern w:val="1"/>
          <w:sz w:val="32"/>
          <w:szCs w:val="32"/>
        </w:rPr>
        <w:t>联系地址：江西省抚州市临川区</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2024年7月23日，我局执法人员根据食品安全监督抽检线索依法对位于福建省泉州市晋江市青阳街道霞行社区金溪路的晋江市青阳真食尚餐馆进行检查，当事</w:t>
      </w:r>
      <w:bookmarkStart w:id="0" w:name="_GoBack"/>
      <w:bookmarkEnd w:id="0"/>
      <w:r>
        <w:rPr>
          <w:rFonts w:hint="eastAsia" w:ascii="仿宋" w:hAnsi="仿宋" w:eastAsia="仿宋" w:cs="仿宋"/>
          <w:color w:val="000000" w:themeColor="text1"/>
          <w:sz w:val="32"/>
          <w:szCs w:val="32"/>
        </w:rPr>
        <w:t>人提供《营业执照》和《食品经营许可证》，执法人员当场送达《食品安全抽样检验抽样单》（№：XBJ24350582371136395ZX）及《检验报告》（№：（2024）XHY-G13997,抽样单位：厦门泓益检测有限公司），该报告显示该店采购的食品原材料“鸡蛋”经检验不合格，并告知当事人相关权利义务，当事人对检验结果无异议不要求复检。当事人涉嫌采购不合格食品原材料的行为违反了《中华人民共和国食品安全法》第五十五条第一款之规定，即予以立案调查。</w:t>
      </w:r>
    </w:p>
    <w:p>
      <w:pPr>
        <w:spacing w:line="39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经查实，当事人采购的食品原材料“鸡蛋”，经抽样检验，氟苯尼考，恩诺沙星项目不符合GB 31650.1-2022《食品安全国家标准 食品中41种兽药最大残留限量》要求，检验结论为不合格，当事人对上述抽检结果无异议。 </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当事人采购的食品原材料“鸡蛋”是2024年5月25日从曾井市场的摊位上向摊贩采购的，共采购20斤，除部分抽样检查外，剩余的均已全部销毁。当事人采购食品未履行进货查验制度，未能说明其合法进货来源。</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以上事实，由现场笔录、《检验报告》№：（2024）XHY-G13997、询问调查笔录、当事人《营业执照》、《食品经营许可证》、身份证复印件等证据证明。</w:t>
      </w:r>
      <w:r>
        <w:rPr>
          <w:rFonts w:ascii="仿宋" w:hAnsi="仿宋" w:eastAsia="仿宋" w:cs="仿宋"/>
          <w:color w:val="000000" w:themeColor="text1"/>
          <w:sz w:val="32"/>
          <w:szCs w:val="32"/>
        </w:rPr>
        <w:t xml:space="preserve">  </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2024年9月17日，本局向当事人直接送达晋市监罚告</w:t>
      </w:r>
      <w:r>
        <w:rPr>
          <w:rFonts w:ascii="仿宋" w:hAnsi="仿宋" w:eastAsia="仿宋" w:cs="仿宋"/>
          <w:color w:val="000000" w:themeColor="text1"/>
          <w:sz w:val="32"/>
          <w:szCs w:val="32"/>
        </w:rPr>
        <w:t>[202</w:t>
      </w:r>
      <w:r>
        <w:rPr>
          <w:rFonts w:hint="eastAsia" w:ascii="仿宋" w:hAnsi="仿宋" w:eastAsia="仿宋" w:cs="仿宋"/>
          <w:color w:val="000000" w:themeColor="text1"/>
          <w:sz w:val="32"/>
          <w:szCs w:val="32"/>
        </w:rPr>
        <w:t>4</w:t>
      </w:r>
      <w:r>
        <w:rPr>
          <w:rFonts w:ascii="仿宋" w:hAnsi="仿宋" w:eastAsia="仿宋" w:cs="仿宋"/>
          <w:color w:val="000000" w:themeColor="text1"/>
          <w:sz w:val="32"/>
          <w:szCs w:val="32"/>
        </w:rPr>
        <w:t>]  01-</w:t>
      </w:r>
      <w:r>
        <w:rPr>
          <w:rFonts w:hint="eastAsia" w:ascii="仿宋" w:hAnsi="仿宋" w:eastAsia="仿宋" w:cs="仿宋"/>
          <w:color w:val="000000" w:themeColor="text1"/>
          <w:sz w:val="32"/>
          <w:szCs w:val="32"/>
        </w:rPr>
        <w:t>183号《行政处罚告知书》，当事人未在法定期限内提出陈述或申辩。</w:t>
      </w:r>
      <w:r>
        <w:rPr>
          <w:rFonts w:ascii="仿宋" w:hAnsi="仿宋" w:eastAsia="仿宋" w:cs="仿宋"/>
          <w:color w:val="000000" w:themeColor="text1"/>
          <w:sz w:val="32"/>
          <w:szCs w:val="32"/>
        </w:rPr>
        <w:t xml:space="preserve">  </w:t>
      </w:r>
    </w:p>
    <w:p>
      <w:pPr>
        <w:spacing w:line="39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本局认为：当事人采购不符合食品安全标准食品原材料（鸡蛋）的行为，违反了《中华人民共和国食品安全法》第五十五条第一款之规定。</w:t>
      </w:r>
    </w:p>
    <w:p>
      <w:pPr>
        <w:spacing w:line="390" w:lineRule="exact"/>
        <w:ind w:firstLine="640" w:firstLineChars="200"/>
        <w:rPr>
          <w:rFonts w:hint="eastAsia" w:ascii="仿宋" w:hAnsi="仿宋" w:eastAsia="仿宋" w:cs="仿宋"/>
          <w:color w:val="000000" w:themeColor="text1"/>
          <w:sz w:val="32"/>
          <w:szCs w:val="32"/>
        </w:rPr>
      </w:pPr>
      <w:r>
        <w:rPr>
          <w:rFonts w:hint="eastAsia" w:ascii="仿宋" w:hAnsi="仿宋" w:eastAsia="仿宋" w:cs="仿宋"/>
          <w:color w:val="000000" w:themeColor="text1"/>
          <w:sz w:val="32"/>
          <w:szCs w:val="32"/>
        </w:rPr>
        <w:t>当事人采购食品原材料（鸡蛋），未履行进货查验制度，未能说明其合法进货来源。鉴于当事人积极配合市场监督管理部门调查，如实陈述违法事实并主动提供证据材料，符合《福建省市场监督管理局关于行政处罚裁量权的适用规则》第十一条第（二）项从轻情节，参照《福建省市场监督管理系统适用&lt;食品安全法&gt;行政处罚裁量基准》条款代号SP-4从轻情节予以量罚。</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依据《中华人民共和国食品安全法》第一百二十五条第一款第（四）项之规定，本局决定对当事人作出如下行政处罚：罚款5000元。   </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以上款项合计5000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39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当事人如不服本处罚决定，可在接到本处罚决定书之日起</w:t>
      </w:r>
      <w:r>
        <w:rPr>
          <w:rFonts w:ascii="仿宋" w:hAnsi="仿宋" w:eastAsia="仿宋" w:cs="仿宋"/>
          <w:color w:val="000000" w:themeColor="text1"/>
          <w:sz w:val="32"/>
          <w:szCs w:val="32"/>
        </w:rPr>
        <w:t>60</w:t>
      </w:r>
      <w:r>
        <w:rPr>
          <w:rFonts w:hint="eastAsia" w:ascii="仿宋" w:hAnsi="仿宋" w:eastAsia="仿宋" w:cs="仿宋"/>
          <w:color w:val="000000" w:themeColor="text1"/>
          <w:sz w:val="32"/>
          <w:szCs w:val="32"/>
        </w:rPr>
        <w:t>日内向晋江市人民政府申请行政复议，或在</w:t>
      </w:r>
      <w:r>
        <w:rPr>
          <w:rFonts w:ascii="仿宋" w:hAnsi="仿宋" w:eastAsia="仿宋" w:cs="仿宋"/>
          <w:color w:val="000000" w:themeColor="text1"/>
          <w:sz w:val="32"/>
          <w:szCs w:val="32"/>
        </w:rPr>
        <w:t>6</w:t>
      </w:r>
      <w:r>
        <w:rPr>
          <w:rFonts w:hint="eastAsia" w:ascii="仿宋" w:hAnsi="仿宋" w:eastAsia="仿宋" w:cs="仿宋"/>
          <w:color w:val="000000" w:themeColor="text1"/>
          <w:sz w:val="32"/>
          <w:szCs w:val="32"/>
        </w:rPr>
        <w:t>个月内依法向人民法院提起行政诉讼。当事人对行政处罚决定不服而申请行政复议或者提起行政诉讼期间，行政处罚不停止执行，法律、法规、规章另有规定的，从其规定。</w:t>
      </w:r>
      <w:r>
        <w:rPr>
          <w:rFonts w:ascii="仿宋" w:hAnsi="仿宋" w:eastAsia="仿宋" w:cs="仿宋"/>
          <w:color w:val="000000" w:themeColor="text1"/>
          <w:sz w:val="32"/>
          <w:szCs w:val="32"/>
        </w:rPr>
        <w:t xml:space="preserve"> </w:t>
      </w:r>
    </w:p>
    <w:p>
      <w:pPr>
        <w:spacing w:line="440" w:lineRule="exact"/>
        <w:ind w:firstLine="601"/>
        <w:jc w:val="right"/>
        <w:rPr>
          <w:rFonts w:ascii="仿宋" w:hAnsi="仿宋" w:eastAsia="仿宋" w:cs="Times New Roman"/>
          <w:color w:val="000000" w:themeColor="text1"/>
          <w:sz w:val="32"/>
          <w:szCs w:val="32"/>
        </w:rPr>
      </w:pPr>
      <w:r>
        <w:rPr>
          <w:rFonts w:ascii="仿宋" w:hAnsi="仿宋" w:eastAsia="仿宋" w:cs="仿宋"/>
          <w:color w:val="000000" w:themeColor="text1"/>
          <w:sz w:val="32"/>
          <w:szCs w:val="32"/>
        </w:rPr>
        <w:t xml:space="preserve">                   </w:t>
      </w:r>
      <w:r>
        <w:rPr>
          <w:rFonts w:hint="eastAsia" w:ascii="仿宋" w:hAnsi="仿宋" w:eastAsia="仿宋" w:cs="仿宋"/>
          <w:color w:val="000000" w:themeColor="text1"/>
          <w:sz w:val="32"/>
          <w:szCs w:val="32"/>
        </w:rPr>
        <w:t>晋江市市场监督管理局</w:t>
      </w:r>
    </w:p>
    <w:p>
      <w:pPr>
        <w:spacing w:line="440" w:lineRule="exact"/>
        <w:jc w:val="right"/>
        <w:rPr>
          <w:rFonts w:hint="eastAsia" w:ascii="仿宋" w:hAnsi="仿宋" w:eastAsia="仿宋" w:cs="仿宋"/>
          <w:color w:val="000000" w:themeColor="text1"/>
          <w:sz w:val="32"/>
          <w:szCs w:val="32"/>
        </w:rPr>
      </w:pPr>
      <w:r>
        <w:rPr>
          <w:rFonts w:ascii="仿宋" w:hAnsi="仿宋" w:eastAsia="仿宋" w:cs="仿宋"/>
          <w:color w:val="000000" w:themeColor="text1"/>
          <w:sz w:val="32"/>
          <w:szCs w:val="32"/>
        </w:rPr>
        <w:t xml:space="preserve">         </w:t>
      </w:r>
      <w:r>
        <w:rPr>
          <w:rFonts w:hint="eastAsia" w:ascii="仿宋" w:hAnsi="仿宋" w:eastAsia="仿宋" w:cs="仿宋"/>
          <w:color w:val="000000" w:themeColor="text1"/>
          <w:sz w:val="32"/>
          <w:szCs w:val="32"/>
        </w:rPr>
        <w:t>2024年9月26日</w:t>
      </w:r>
    </w:p>
    <w:p>
      <w:pPr>
        <w:spacing w:line="440" w:lineRule="exact"/>
        <w:jc w:val="right"/>
        <w:rPr>
          <w:rFonts w:ascii="仿宋" w:hAnsi="仿宋" w:eastAsia="仿宋" w:cs="仿宋"/>
          <w:color w:val="000000" w:themeColor="text1"/>
          <w:sz w:val="32"/>
          <w:szCs w:val="32"/>
        </w:rPr>
      </w:pPr>
    </w:p>
    <w:p>
      <w:pPr>
        <w:pBdr>
          <w:bottom w:val="thinThickThinMediumGap" w:color="auto" w:sz="18" w:space="1"/>
        </w:pBdr>
        <w:spacing w:line="520" w:lineRule="exact"/>
        <w:jc w:val="center"/>
        <w:rPr>
          <w:rFonts w:ascii="仿宋_GB2312" w:hAnsi="宋体" w:eastAsia="仿宋_GB2312"/>
          <w:color w:val="000000" w:themeColor="text1"/>
          <w:sz w:val="30"/>
          <w:szCs w:val="30"/>
        </w:rPr>
      </w:pPr>
      <w:r>
        <w:rPr>
          <w:rFonts w:hint="eastAsia" w:ascii="仿宋_GB2312" w:hAnsi="宋体" w:eastAsia="仿宋_GB2312"/>
          <w:color w:val="000000" w:themeColor="text1"/>
          <w:sz w:val="30"/>
          <w:szCs w:val="30"/>
        </w:rPr>
        <w:t>（</w:t>
      </w:r>
      <w:r>
        <w:rPr>
          <w:rFonts w:hint="eastAsia" w:ascii="黑体" w:hAnsi="黑体" w:eastAsia="黑体" w:cs="黑体"/>
          <w:bCs/>
          <w:color w:val="000000" w:themeColor="text1"/>
          <w:sz w:val="32"/>
          <w:szCs w:val="32"/>
        </w:rPr>
        <w:t>市场监督管理部门将依法向社会公示本行政处罚决定信息</w:t>
      </w:r>
      <w:r>
        <w:rPr>
          <w:rFonts w:hint="eastAsia" w:ascii="仿宋_GB2312" w:hAnsi="宋体" w:eastAsia="仿宋_GB2312"/>
          <w:color w:val="000000" w:themeColor="text1"/>
          <w:sz w:val="30"/>
          <w:szCs w:val="30"/>
        </w:rPr>
        <w:t>）</w:t>
      </w:r>
    </w:p>
    <w:p>
      <w:pPr>
        <w:spacing w:line="480" w:lineRule="exact"/>
        <w:jc w:val="center"/>
        <w:rPr>
          <w:rFonts w:ascii="仿宋_GB2312" w:hAnsi="仿宋" w:eastAsia="仿宋_GB2312" w:cs="Times New Roman"/>
          <w:color w:val="000000" w:themeColor="text1"/>
          <w:sz w:val="32"/>
          <w:szCs w:val="32"/>
        </w:rPr>
      </w:pPr>
      <w:r>
        <w:rPr>
          <w:rFonts w:hint="eastAsia" w:ascii="仿宋" w:hAnsi="仿宋" w:eastAsia="仿宋" w:cs="仿宋"/>
          <w:color w:val="000000" w:themeColor="text1"/>
          <w:sz w:val="32"/>
          <w:szCs w:val="32"/>
        </w:rPr>
        <w:t>文本书一式两份，一份送达，一份归档</w:t>
      </w: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397D"/>
    <w:rsid w:val="00003A2A"/>
    <w:rsid w:val="00005C52"/>
    <w:rsid w:val="00007764"/>
    <w:rsid w:val="000248F3"/>
    <w:rsid w:val="00034496"/>
    <w:rsid w:val="00037806"/>
    <w:rsid w:val="00040F02"/>
    <w:rsid w:val="0004759F"/>
    <w:rsid w:val="000476AD"/>
    <w:rsid w:val="00076164"/>
    <w:rsid w:val="00077A72"/>
    <w:rsid w:val="00077DE6"/>
    <w:rsid w:val="000A0EAA"/>
    <w:rsid w:val="000A23C0"/>
    <w:rsid w:val="000A5D28"/>
    <w:rsid w:val="000B0D42"/>
    <w:rsid w:val="000C3E68"/>
    <w:rsid w:val="000C4D50"/>
    <w:rsid w:val="00102B6E"/>
    <w:rsid w:val="001055EC"/>
    <w:rsid w:val="00114448"/>
    <w:rsid w:val="00126331"/>
    <w:rsid w:val="00140948"/>
    <w:rsid w:val="00143B8C"/>
    <w:rsid w:val="00153BEB"/>
    <w:rsid w:val="001814DF"/>
    <w:rsid w:val="00185FA5"/>
    <w:rsid w:val="001963E2"/>
    <w:rsid w:val="001A3074"/>
    <w:rsid w:val="001B0254"/>
    <w:rsid w:val="001B40E4"/>
    <w:rsid w:val="001B52A1"/>
    <w:rsid w:val="001C2286"/>
    <w:rsid w:val="001C3CA0"/>
    <w:rsid w:val="001C4FB6"/>
    <w:rsid w:val="001D4034"/>
    <w:rsid w:val="001F327B"/>
    <w:rsid w:val="00204476"/>
    <w:rsid w:val="002248A6"/>
    <w:rsid w:val="00231D99"/>
    <w:rsid w:val="00235707"/>
    <w:rsid w:val="0023661B"/>
    <w:rsid w:val="00244CA8"/>
    <w:rsid w:val="00246A8D"/>
    <w:rsid w:val="00252706"/>
    <w:rsid w:val="00254D23"/>
    <w:rsid w:val="00274E53"/>
    <w:rsid w:val="00291604"/>
    <w:rsid w:val="00296334"/>
    <w:rsid w:val="002A15A0"/>
    <w:rsid w:val="002A29D7"/>
    <w:rsid w:val="002C1098"/>
    <w:rsid w:val="002C15E7"/>
    <w:rsid w:val="002C1F2A"/>
    <w:rsid w:val="002C30A0"/>
    <w:rsid w:val="002C43EA"/>
    <w:rsid w:val="002C5726"/>
    <w:rsid w:val="002D7D1F"/>
    <w:rsid w:val="00316F22"/>
    <w:rsid w:val="00342439"/>
    <w:rsid w:val="00345C90"/>
    <w:rsid w:val="0034617A"/>
    <w:rsid w:val="00352851"/>
    <w:rsid w:val="00361A24"/>
    <w:rsid w:val="00365D56"/>
    <w:rsid w:val="00367629"/>
    <w:rsid w:val="00376952"/>
    <w:rsid w:val="00393749"/>
    <w:rsid w:val="003A39D4"/>
    <w:rsid w:val="003A7A6D"/>
    <w:rsid w:val="003B2CB3"/>
    <w:rsid w:val="003B4FFA"/>
    <w:rsid w:val="003C7762"/>
    <w:rsid w:val="003D0AEB"/>
    <w:rsid w:val="003E15D4"/>
    <w:rsid w:val="00401A24"/>
    <w:rsid w:val="00401D9C"/>
    <w:rsid w:val="004047AA"/>
    <w:rsid w:val="00412F44"/>
    <w:rsid w:val="00435755"/>
    <w:rsid w:val="00451E9B"/>
    <w:rsid w:val="00455977"/>
    <w:rsid w:val="00455EA0"/>
    <w:rsid w:val="004563B1"/>
    <w:rsid w:val="00460F58"/>
    <w:rsid w:val="00480AB5"/>
    <w:rsid w:val="00484231"/>
    <w:rsid w:val="004A236B"/>
    <w:rsid w:val="004A28D0"/>
    <w:rsid w:val="004A3F4C"/>
    <w:rsid w:val="004B0E01"/>
    <w:rsid w:val="004B1549"/>
    <w:rsid w:val="004B4907"/>
    <w:rsid w:val="004C3ED8"/>
    <w:rsid w:val="004C40F0"/>
    <w:rsid w:val="004D009C"/>
    <w:rsid w:val="004D18F8"/>
    <w:rsid w:val="004D3A40"/>
    <w:rsid w:val="004D587E"/>
    <w:rsid w:val="004D6A07"/>
    <w:rsid w:val="004E4338"/>
    <w:rsid w:val="004E5958"/>
    <w:rsid w:val="004F1E42"/>
    <w:rsid w:val="004F4239"/>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1E86"/>
    <w:rsid w:val="005870C9"/>
    <w:rsid w:val="00593B93"/>
    <w:rsid w:val="0059535A"/>
    <w:rsid w:val="005A63D8"/>
    <w:rsid w:val="005C7547"/>
    <w:rsid w:val="005D6875"/>
    <w:rsid w:val="005E0F35"/>
    <w:rsid w:val="005F2547"/>
    <w:rsid w:val="005F7EBF"/>
    <w:rsid w:val="0060093F"/>
    <w:rsid w:val="00601876"/>
    <w:rsid w:val="00613C75"/>
    <w:rsid w:val="00613F3D"/>
    <w:rsid w:val="00626542"/>
    <w:rsid w:val="0062771D"/>
    <w:rsid w:val="0063101E"/>
    <w:rsid w:val="00641880"/>
    <w:rsid w:val="0064298B"/>
    <w:rsid w:val="0064416B"/>
    <w:rsid w:val="00655E6A"/>
    <w:rsid w:val="00661836"/>
    <w:rsid w:val="006664F7"/>
    <w:rsid w:val="0067063C"/>
    <w:rsid w:val="0067073C"/>
    <w:rsid w:val="00672F3A"/>
    <w:rsid w:val="00673EFA"/>
    <w:rsid w:val="00685512"/>
    <w:rsid w:val="006940C9"/>
    <w:rsid w:val="006A4F3C"/>
    <w:rsid w:val="006A5923"/>
    <w:rsid w:val="006D6D9E"/>
    <w:rsid w:val="006E04BA"/>
    <w:rsid w:val="006E5E74"/>
    <w:rsid w:val="006F72D4"/>
    <w:rsid w:val="0070356E"/>
    <w:rsid w:val="00727A76"/>
    <w:rsid w:val="00750735"/>
    <w:rsid w:val="007530C4"/>
    <w:rsid w:val="007531C7"/>
    <w:rsid w:val="0076529B"/>
    <w:rsid w:val="00775D2F"/>
    <w:rsid w:val="00777B33"/>
    <w:rsid w:val="007816DE"/>
    <w:rsid w:val="00787563"/>
    <w:rsid w:val="00794E76"/>
    <w:rsid w:val="007A37A6"/>
    <w:rsid w:val="007B288C"/>
    <w:rsid w:val="007B471B"/>
    <w:rsid w:val="007C0A45"/>
    <w:rsid w:val="007C738A"/>
    <w:rsid w:val="007E3F36"/>
    <w:rsid w:val="008031CC"/>
    <w:rsid w:val="00807214"/>
    <w:rsid w:val="00816852"/>
    <w:rsid w:val="00821D7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7178"/>
    <w:rsid w:val="00915841"/>
    <w:rsid w:val="00943E08"/>
    <w:rsid w:val="00945347"/>
    <w:rsid w:val="00960A92"/>
    <w:rsid w:val="00971C32"/>
    <w:rsid w:val="00993AC0"/>
    <w:rsid w:val="00993F3D"/>
    <w:rsid w:val="009A18D3"/>
    <w:rsid w:val="009B1BFD"/>
    <w:rsid w:val="009C5839"/>
    <w:rsid w:val="009C5986"/>
    <w:rsid w:val="009D589C"/>
    <w:rsid w:val="009E5C45"/>
    <w:rsid w:val="009F1668"/>
    <w:rsid w:val="009F35A6"/>
    <w:rsid w:val="00A17B66"/>
    <w:rsid w:val="00A37262"/>
    <w:rsid w:val="00A53F0B"/>
    <w:rsid w:val="00A549AB"/>
    <w:rsid w:val="00A54ABB"/>
    <w:rsid w:val="00A54D5C"/>
    <w:rsid w:val="00A57C76"/>
    <w:rsid w:val="00A57D33"/>
    <w:rsid w:val="00A65906"/>
    <w:rsid w:val="00A71560"/>
    <w:rsid w:val="00A77EFB"/>
    <w:rsid w:val="00A97422"/>
    <w:rsid w:val="00AA216C"/>
    <w:rsid w:val="00AB29F8"/>
    <w:rsid w:val="00AB4777"/>
    <w:rsid w:val="00AC6F8A"/>
    <w:rsid w:val="00AD57FE"/>
    <w:rsid w:val="00AE3558"/>
    <w:rsid w:val="00AF0945"/>
    <w:rsid w:val="00AF0A0C"/>
    <w:rsid w:val="00AF59C2"/>
    <w:rsid w:val="00B25C9F"/>
    <w:rsid w:val="00B432E0"/>
    <w:rsid w:val="00B4481B"/>
    <w:rsid w:val="00B51FFA"/>
    <w:rsid w:val="00B5643C"/>
    <w:rsid w:val="00B61458"/>
    <w:rsid w:val="00B62E7A"/>
    <w:rsid w:val="00B66630"/>
    <w:rsid w:val="00B66D63"/>
    <w:rsid w:val="00B735E1"/>
    <w:rsid w:val="00B8138E"/>
    <w:rsid w:val="00B83175"/>
    <w:rsid w:val="00B90FA2"/>
    <w:rsid w:val="00BA3308"/>
    <w:rsid w:val="00BB3222"/>
    <w:rsid w:val="00BB371A"/>
    <w:rsid w:val="00BB4B5B"/>
    <w:rsid w:val="00BC4F4E"/>
    <w:rsid w:val="00BD1878"/>
    <w:rsid w:val="00BD4131"/>
    <w:rsid w:val="00BD69A7"/>
    <w:rsid w:val="00BD78C9"/>
    <w:rsid w:val="00BE14AE"/>
    <w:rsid w:val="00BE24F5"/>
    <w:rsid w:val="00BE43D4"/>
    <w:rsid w:val="00BE671D"/>
    <w:rsid w:val="00BF1A59"/>
    <w:rsid w:val="00C00611"/>
    <w:rsid w:val="00C00DFD"/>
    <w:rsid w:val="00C05FD3"/>
    <w:rsid w:val="00C179D8"/>
    <w:rsid w:val="00C223E1"/>
    <w:rsid w:val="00C22D03"/>
    <w:rsid w:val="00C26BA9"/>
    <w:rsid w:val="00C27F5A"/>
    <w:rsid w:val="00C315A2"/>
    <w:rsid w:val="00C44A08"/>
    <w:rsid w:val="00C46A3C"/>
    <w:rsid w:val="00C60003"/>
    <w:rsid w:val="00C644A3"/>
    <w:rsid w:val="00C64EB8"/>
    <w:rsid w:val="00C7310B"/>
    <w:rsid w:val="00C744AD"/>
    <w:rsid w:val="00C8768E"/>
    <w:rsid w:val="00CA277B"/>
    <w:rsid w:val="00CB07D7"/>
    <w:rsid w:val="00CB40F1"/>
    <w:rsid w:val="00CB7B41"/>
    <w:rsid w:val="00CC5D78"/>
    <w:rsid w:val="00CC6C25"/>
    <w:rsid w:val="00CD2941"/>
    <w:rsid w:val="00CD3255"/>
    <w:rsid w:val="00CD33E5"/>
    <w:rsid w:val="00CE6593"/>
    <w:rsid w:val="00CF4B8B"/>
    <w:rsid w:val="00CF5F27"/>
    <w:rsid w:val="00D04055"/>
    <w:rsid w:val="00D073EF"/>
    <w:rsid w:val="00D07FA5"/>
    <w:rsid w:val="00D22376"/>
    <w:rsid w:val="00D22E47"/>
    <w:rsid w:val="00D31F55"/>
    <w:rsid w:val="00D33C8B"/>
    <w:rsid w:val="00D46980"/>
    <w:rsid w:val="00D62082"/>
    <w:rsid w:val="00D6256B"/>
    <w:rsid w:val="00D666BD"/>
    <w:rsid w:val="00D671F0"/>
    <w:rsid w:val="00D81800"/>
    <w:rsid w:val="00D834B1"/>
    <w:rsid w:val="00D854B5"/>
    <w:rsid w:val="00D8749A"/>
    <w:rsid w:val="00D90D35"/>
    <w:rsid w:val="00DA3134"/>
    <w:rsid w:val="00DB5677"/>
    <w:rsid w:val="00DB7BC3"/>
    <w:rsid w:val="00DC0C67"/>
    <w:rsid w:val="00DD29F2"/>
    <w:rsid w:val="00DF214D"/>
    <w:rsid w:val="00DF272A"/>
    <w:rsid w:val="00DF7747"/>
    <w:rsid w:val="00E01C80"/>
    <w:rsid w:val="00E12533"/>
    <w:rsid w:val="00E20BB6"/>
    <w:rsid w:val="00E21401"/>
    <w:rsid w:val="00E23B62"/>
    <w:rsid w:val="00E24EC8"/>
    <w:rsid w:val="00E36AB3"/>
    <w:rsid w:val="00E400C9"/>
    <w:rsid w:val="00E41F82"/>
    <w:rsid w:val="00E54C6D"/>
    <w:rsid w:val="00E558FA"/>
    <w:rsid w:val="00E65251"/>
    <w:rsid w:val="00E72F7C"/>
    <w:rsid w:val="00E73E84"/>
    <w:rsid w:val="00E820CD"/>
    <w:rsid w:val="00E83576"/>
    <w:rsid w:val="00E97C53"/>
    <w:rsid w:val="00EA3F89"/>
    <w:rsid w:val="00EA3FF4"/>
    <w:rsid w:val="00EB3F5F"/>
    <w:rsid w:val="00EC0853"/>
    <w:rsid w:val="00EC1394"/>
    <w:rsid w:val="00EC743D"/>
    <w:rsid w:val="00ED0239"/>
    <w:rsid w:val="00EE276D"/>
    <w:rsid w:val="00F037D6"/>
    <w:rsid w:val="00F05F79"/>
    <w:rsid w:val="00F06E2B"/>
    <w:rsid w:val="00F07D35"/>
    <w:rsid w:val="00F21E44"/>
    <w:rsid w:val="00F23FF8"/>
    <w:rsid w:val="00F25785"/>
    <w:rsid w:val="00F35474"/>
    <w:rsid w:val="00F40E47"/>
    <w:rsid w:val="00F5146E"/>
    <w:rsid w:val="00F6001B"/>
    <w:rsid w:val="00F85AF5"/>
    <w:rsid w:val="00F90E74"/>
    <w:rsid w:val="00F96CF2"/>
    <w:rsid w:val="00FA68F7"/>
    <w:rsid w:val="00FB3666"/>
    <w:rsid w:val="00FB7579"/>
    <w:rsid w:val="00FB7E94"/>
    <w:rsid w:val="00FC0159"/>
    <w:rsid w:val="00FC5219"/>
    <w:rsid w:val="00FC57CE"/>
    <w:rsid w:val="00FE67A7"/>
    <w:rsid w:val="03DD51FF"/>
    <w:rsid w:val="0A9E0882"/>
    <w:rsid w:val="16B16849"/>
    <w:rsid w:val="17BE75D5"/>
    <w:rsid w:val="1A033433"/>
    <w:rsid w:val="1D7959C2"/>
    <w:rsid w:val="28690811"/>
    <w:rsid w:val="4861719E"/>
    <w:rsid w:val="4F965EA1"/>
    <w:rsid w:val="50D46083"/>
    <w:rsid w:val="5A2D67C8"/>
    <w:rsid w:val="62EF0B51"/>
    <w:rsid w:val="6B675071"/>
    <w:rsid w:val="6E317349"/>
    <w:rsid w:val="74570C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qFormat/>
    <w:locked/>
    <w:uiPriority w:val="0"/>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242</Words>
  <Characters>1385</Characters>
  <Lines>11</Lines>
  <Paragraphs>3</Paragraphs>
  <TotalTime>27</TotalTime>
  <ScaleCrop>false</ScaleCrop>
  <LinksUpToDate>false</LinksUpToDate>
  <CharactersWithSpaces>1624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2022-03-17T07:55:00Z</dcterms:created>
  <dc:creator>Administrator</dc:creator>
  <cp:lastModifiedBy>施婉弘</cp:lastModifiedBy>
  <cp:lastPrinted>2024-01-22T01:44:00Z</cp:lastPrinted>
  <dcterms:modified xsi:type="dcterms:W3CDTF">2024-10-09T03:33:47Z</dcterms:modified>
  <dc:title>晋江市市场监督管理局</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